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2B" w:rsidRDefault="00A1782B" w:rsidP="00A1782B">
      <w:pPr>
        <w:spacing w:after="120" w:line="320" w:lineRule="atLeast"/>
        <w:jc w:val="both"/>
      </w:pPr>
      <w:bookmarkStart w:id="0" w:name="_GoBack"/>
      <w:bookmarkEnd w:id="0"/>
      <w:r>
        <w:t xml:space="preserve">Za organizację kształcenia specjalnego ucznia niepełnosprawnego odpowiedzialna jest właściwa jednostka samorządu terytorialnego, do zadań której należy prowadzenie odpowiednio przedszkoli, szkół (placówek) danego typu i rodzaju. </w:t>
      </w:r>
    </w:p>
    <w:p w:rsidR="00A1782B" w:rsidRDefault="00A1782B" w:rsidP="00A1782B">
      <w:pPr>
        <w:spacing w:after="120" w:line="320" w:lineRule="atLeast"/>
        <w:jc w:val="both"/>
        <w:rPr>
          <w:color w:val="000000"/>
        </w:rPr>
      </w:pPr>
      <w:r>
        <w:t xml:space="preserve">Środki na realizację zadań wymagających stosowania specjalnej organizacji nauki i metod pracy (w tym również zadań na rzecz uczniów dzieci z autyzmem) naliczane są m.in. dla jednostek samorządu terytorialnego w ramach części oświatowej subwencji ogólnej. </w:t>
      </w:r>
      <w:r w:rsidRPr="00140247">
        <w:rPr>
          <w:color w:val="000000"/>
        </w:rPr>
        <w:t>Zasady naliczania subwencji oświatowej na dzieci/uczniów niepełnosprawnych reguluje rozporządzenie Ministra Edukacji N</w:t>
      </w:r>
      <w:r>
        <w:rPr>
          <w:color w:val="000000"/>
        </w:rPr>
        <w:t xml:space="preserve">arodowej z dnia 22 grudnia 2016 </w:t>
      </w:r>
      <w:r w:rsidRPr="00140247">
        <w:rPr>
          <w:color w:val="000000"/>
        </w:rPr>
        <w:t xml:space="preserve">roku </w:t>
      </w:r>
      <w:r>
        <w:t>(Dz.U. z 2</w:t>
      </w:r>
      <w:r w:rsidRPr="00514A5E">
        <w:t>016 r., poz. 2298)</w:t>
      </w:r>
      <w:r w:rsidRPr="00140247">
        <w:rPr>
          <w:color w:val="000000"/>
        </w:rPr>
        <w:t xml:space="preserve"> w sprawie sposobu podziału części oświatowej subwencji ogólnej dla jednostek samorządu terytorialnego </w:t>
      </w:r>
      <w:r w:rsidRPr="00514A5E">
        <w:t>w roku 2017</w:t>
      </w:r>
      <w:r w:rsidRPr="00140247">
        <w:rPr>
          <w:color w:val="000000"/>
        </w:rPr>
        <w:t xml:space="preserve">. </w:t>
      </w:r>
    </w:p>
    <w:p w:rsidR="00A1782B" w:rsidRDefault="00A1782B" w:rsidP="00A1782B">
      <w:pPr>
        <w:spacing w:line="276" w:lineRule="auto"/>
        <w:jc w:val="both"/>
      </w:pPr>
      <w:r>
        <w:t>Na rok 2017 uwzględnione zostały dodatkowe wagi na uczniów niepełnosprawnych: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4</w:t>
      </w:r>
      <w:r>
        <w:t xml:space="preserve"> = 1,40</w:t>
      </w:r>
      <w:r>
        <w:tab/>
        <w:t xml:space="preserve">dla uczniów z upośledzeniem umysłowym w stopniu lekkim, niedostosowanych społecznie, z zaburzeniami zachowania, zagrożonych uzależnieniem, zagrożonych niedostosowaniem społecznym, z chorobami przewlekłymi - wymagających stosowania specjalnej organizacji nauki i metod pracy (na podstawie orzeczeń, </w:t>
      </w:r>
      <w:r>
        <w:br/>
        <w:t>o których mowa w art. 71b ust. 3 ustawy o systemie oświaty) oraz dla uczniów szkół podstawowych specjalnych, gimnazjów specjalnych i szkół ponadgimnazjalnych specjalnych w młodzieżowych ośrodkach wychowawczych i młodzieżowych ośrodkach socjoterapii - wymagających stosowania specjalnej organizacji nauki i metod pracy, którzy nie posiadają orzeczeń, o których mowa w art. 71b ust. 3 ustawy o systemie oświaty,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5</w:t>
      </w:r>
      <w:r>
        <w:t xml:space="preserve"> = 2,90</w:t>
      </w:r>
      <w:r>
        <w:tab/>
        <w:t>dla uczniów niewidomych, słabowidzących, z niepełnosprawnością ruchową, w tym z afazją, z zaburzeniami psychicznymi - wymagających stosowania specjalnej organizacji nauki i metod pracy (na podstawie orzeczeń, o których mowa w art. 71b ust. 3 ustawy o systemie oświaty),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6</w:t>
      </w:r>
      <w:r>
        <w:t xml:space="preserve"> = 3,60</w:t>
      </w:r>
      <w:r>
        <w:tab/>
        <w:t>dla uczniów niesłyszących, słabosłyszących, z upośledzeniem umysłowym w stopniu umiarkowanym lub znacznym (na podstawie orzeczeń, o których mowa w art. 71b ust. 3 ustawy o systemie oświaty),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 xml:space="preserve">7 </w:t>
      </w:r>
      <w:r>
        <w:t>= 9,50</w:t>
      </w:r>
      <w:r>
        <w:tab/>
        <w:t xml:space="preserve">dla dzieci i młodzieży z upośledzeniem umysłowym w stopniu głębokim realizujących obowiązek szkolny lub obowiązek nauki poprzez uczestnictwo w zajęciach rewalidacyjno-wychowawczych organizowanych przez szkoły podstawowe i gimnazja, dla uczniów z niepełnosprawnościami sprzężonymi oraz z autyzmem, w tym </w:t>
      </w:r>
      <w:r>
        <w:br/>
        <w:t>z zespołem Aspergera (na podstawie orzeczeń, o których mowa w art. 71b ust. 3 ustawy o systemie oświaty),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8</w:t>
      </w:r>
      <w:r>
        <w:t xml:space="preserve"> = 0,80</w:t>
      </w:r>
      <w:r>
        <w:tab/>
        <w:t>dodatkowo dla niepełnosprawnych uczniów w oddziałach integracyjnych w szkołach podstawowych, gimnazjach, szkołach ponadgimnazjalnych (na podstawie orzeczeń, o których mowa w art. 71b ust. 3 ustawy o systemie oświaty),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28</w:t>
      </w:r>
      <w:r>
        <w:t xml:space="preserve"> = 1,00</w:t>
      </w:r>
      <w:r>
        <w:tab/>
        <w:t>dla uczniów oddziałów specjalnych, szkół podstawowych specjalnych, gimnazjów specjalnych i szkół ponadgimnazjalnych specjalnych - zorganizowanych w podmiotach leczniczych,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lastRenderedPageBreak/>
        <w:t>P</w:t>
      </w:r>
      <w:r>
        <w:rPr>
          <w:b/>
          <w:bCs/>
          <w:vertAlign w:val="subscript"/>
        </w:rPr>
        <w:t>29</w:t>
      </w:r>
      <w:r>
        <w:t xml:space="preserve"> = 1,84</w:t>
      </w:r>
      <w:r>
        <w:tab/>
        <w:t>dla wychowanków specjalnych zespołów pozalekcyjnych zajęć wychowawczych lub grup wychowawczych prowadzonych w szkołach podstawowych, gimnazjach i szkołach ponadgimnazjalnych - zorganizowanych w podmiotach leczniczych,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30</w:t>
      </w:r>
      <w:r>
        <w:t xml:space="preserve"> = 0,60</w:t>
      </w:r>
      <w:r>
        <w:tab/>
        <w:t>dla uczniów oddziałów terapeutycznych w szkołach ogólnodostępnych lub integracyjnych,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37</w:t>
      </w:r>
      <w:r>
        <w:t xml:space="preserve"> = 4,000</w:t>
      </w:r>
      <w:r>
        <w:tab/>
        <w:t>dla dzieci niesłyszących, słabosłyszących, niewidomych, słabowidzących, z niepełnosprawnością ruchową, w tym z afazją, z upośledzeniem umysłowym w stopniu lekkim, umiarkowanym, znacznym lub głębokim - objętych wychowaniem i kształceniem specjalnym w przedszkolach, oddziałach przedszkolnych zorganizowanych w szkołach podstawowych, a także w innych formach wychowania przedszkolnego (na podstawie orzeczeń, o których mowa w art. 71b ust. 3 o systemie oświaty) oraz dla dzieci w przedszkolach specjalnych i oddziałach przedszkolnych w szkołach podstawowych specjalnych zorganizowanych w podmiotach leczniczych,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39</w:t>
      </w:r>
      <w:r>
        <w:t xml:space="preserve"> = 0,500</w:t>
      </w:r>
      <w:r>
        <w:tab/>
        <w:t>dodatkowo dla wychowanków internatów i burs, będących uczniami szkół specjalnych,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42</w:t>
      </w:r>
      <w:r>
        <w:t xml:space="preserve"> = 6,500</w:t>
      </w:r>
      <w:r>
        <w:tab/>
        <w:t xml:space="preserve">dla wychowanków specjalnych ośrodków szkolno-wychowawczych, specjalnych ośrodków wychowawczych i młodzieżowych ośrodków socjoterapii, którzy korzystają z zakwaterowania w tych ośrodkach (waga </w:t>
      </w:r>
      <w:r>
        <w:rPr>
          <w:b/>
          <w:bCs/>
        </w:rPr>
        <w:t>P</w:t>
      </w:r>
      <w:r>
        <w:rPr>
          <w:b/>
          <w:bCs/>
          <w:vertAlign w:val="subscript"/>
        </w:rPr>
        <w:t>42</w:t>
      </w:r>
      <w:r>
        <w:t xml:space="preserve"> wyklucza się z wagami </w:t>
      </w:r>
      <w:r>
        <w:rPr>
          <w:b/>
          <w:bCs/>
        </w:rPr>
        <w:t>P</w:t>
      </w:r>
      <w:r>
        <w:rPr>
          <w:b/>
          <w:bCs/>
          <w:vertAlign w:val="subscript"/>
        </w:rPr>
        <w:t>38</w:t>
      </w:r>
      <w:r>
        <w:t xml:space="preserve"> i </w:t>
      </w:r>
      <w:r>
        <w:rPr>
          <w:b/>
          <w:bCs/>
        </w:rPr>
        <w:t>P</w:t>
      </w:r>
      <w:r>
        <w:rPr>
          <w:b/>
          <w:bCs/>
          <w:vertAlign w:val="subscript"/>
        </w:rPr>
        <w:t>39</w:t>
      </w:r>
      <w:r>
        <w:t>),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 xml:space="preserve">43 </w:t>
      </w:r>
      <w:r>
        <w:t>= 10,000</w:t>
      </w:r>
      <w:r>
        <w:tab/>
        <w:t xml:space="preserve">dla wychowanków młodzieżowych ośrodków wychowawczych, którzy korzystają z zakwaterowania w tych ośrodkach (waga </w:t>
      </w:r>
      <w:r>
        <w:rPr>
          <w:b/>
          <w:bCs/>
        </w:rPr>
        <w:t>P</w:t>
      </w:r>
      <w:r>
        <w:rPr>
          <w:b/>
          <w:bCs/>
          <w:vertAlign w:val="subscript"/>
        </w:rPr>
        <w:t>43</w:t>
      </w:r>
      <w:r>
        <w:t xml:space="preserve"> wyklucza się z wagami </w:t>
      </w:r>
      <w:r>
        <w:rPr>
          <w:b/>
          <w:bCs/>
        </w:rPr>
        <w:t>P</w:t>
      </w:r>
      <w:r>
        <w:rPr>
          <w:b/>
          <w:bCs/>
          <w:vertAlign w:val="subscript"/>
        </w:rPr>
        <w:t>38</w:t>
      </w:r>
      <w:r>
        <w:t xml:space="preserve"> i </w:t>
      </w:r>
      <w:r>
        <w:rPr>
          <w:b/>
          <w:bCs/>
        </w:rPr>
        <w:t>P</w:t>
      </w:r>
      <w:r>
        <w:rPr>
          <w:b/>
          <w:bCs/>
          <w:vertAlign w:val="subscript"/>
        </w:rPr>
        <w:t>39</w:t>
      </w:r>
      <w:r>
        <w:t>),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 xml:space="preserve">44 </w:t>
      </w:r>
      <w:r>
        <w:t>= 1,500</w:t>
      </w:r>
      <w:r>
        <w:tab/>
        <w:t>dla wychowanków młodzieżowych ośrodków socjoterapii, którzy nie korzystają z zakwaterowania w tych ośrodkach,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45</w:t>
      </w:r>
      <w:r>
        <w:t xml:space="preserve"> = 9,500</w:t>
      </w:r>
      <w:r>
        <w:tab/>
        <w:t>dla wychowanków ośrodków rewalidacyjno-wychowawczych oraz dla dzieci z niepełnosprawnościami sprzężonymi i z autyzmem, w tym z zespołem Aspergera, będących wychowankami przedszkoli, oddziałów przedszkolnych zorganizowanych w szkołach podstawowych, a także innych form wychowania przedszkolnego (na podstawie orzeczeń, o których mowa w art. 71b ust. 3 ustawy o systemie),</w:t>
      </w:r>
    </w:p>
    <w:p w:rsidR="00A1782B" w:rsidRDefault="00A1782B" w:rsidP="00A1782B">
      <w:pPr>
        <w:spacing w:after="120" w:line="276" w:lineRule="auto"/>
        <w:ind w:left="1418" w:hanging="1418"/>
        <w:jc w:val="both"/>
      </w:pPr>
      <w:r>
        <w:rPr>
          <w:b/>
          <w:bCs/>
        </w:rPr>
        <w:t>P</w:t>
      </w:r>
      <w:r>
        <w:rPr>
          <w:b/>
          <w:bCs/>
          <w:vertAlign w:val="subscript"/>
        </w:rPr>
        <w:t>47</w:t>
      </w:r>
      <w:r>
        <w:t xml:space="preserve"> = 0,840 </w:t>
      </w:r>
      <w:r>
        <w:tab/>
        <w:t>dla dzieci objętych wczesnym wspomaganiem rozwoju w przedszkolach, oddziałach przedszkolnych zorganizowanych w szkołach podstawowych, innych formach wychowania przedszkolnego, szkołach podstawowych, specjalnych ośrodkach szkolno-wychowawczych, specjalnych ośrodkach wychowawczych, ośrodkach rewalidacyjno-wychowawczych, poradniach psychologiczno-pedagogicznych (na podstawie opinii, o których mowa w art. 71b ust. 3 i 3a ustawy o systemie oświaty).</w:t>
      </w:r>
    </w:p>
    <w:p w:rsidR="00A1782B" w:rsidRDefault="00A1782B" w:rsidP="00A1782B">
      <w:pPr>
        <w:spacing w:after="120" w:line="320" w:lineRule="atLeast"/>
        <w:jc w:val="both"/>
      </w:pPr>
    </w:p>
    <w:p w:rsidR="00A1782B" w:rsidRDefault="00A1782B" w:rsidP="00A1782B">
      <w:pPr>
        <w:spacing w:after="120" w:line="320" w:lineRule="atLeast"/>
        <w:jc w:val="both"/>
      </w:pPr>
      <w:r>
        <w:t xml:space="preserve">Podział kwoty subwencji oświatowej w jednostce samorządu terytorialnego na poszczególne szkoły i placówki, w tym na konkretne zadania, jest dokonywany przez tę jednostkę z uwzględnieniem faktycznych kosztów funkcjonowania szkół i placówek realizujących zadania edukacyjne wynikające z przepisów prawa oświatowego. Z tym, że samorząd ma obowiązek w danym roku budżetowym </w:t>
      </w:r>
      <w:r w:rsidRPr="00140247">
        <w:rPr>
          <w:color w:val="000000"/>
        </w:rPr>
        <w:t>przeznaczenia na zadania związane ze stosowaniem specjalnej organizacji nauki i metod pracy dla dzieci i młodzieży środków  w wysokości nie niższej niż zostały na te zadania naliczone w części oświatowej  subwencji ogólnej</w:t>
      </w:r>
      <w:r>
        <w:rPr>
          <w:color w:val="000000"/>
        </w:rPr>
        <w:t xml:space="preserve">. </w:t>
      </w:r>
      <w:r>
        <w:t xml:space="preserve">Od 2015 r. zostały wprowadzone gwarancje systemowe </w:t>
      </w:r>
      <w:r>
        <w:lastRenderedPageBreak/>
        <w:t xml:space="preserve">przeznaczania środków na kształcenie specjalne. W 2017 r. kwestie wysokości przeznaczanych środków subwencji oświatowej na realizację zadań wymagających stosowania specjalnej organizacji metod pracy dla dzieci i młodzieży regulują dwie ustawy. Od 1 stycznia 2017 do 31 sierpnia 2017 obowiązuje art. 5a ust 3a Ustawy o Systemie Oświaty Dz. U. 2016 poz. 1943 z </w:t>
      </w:r>
      <w:proofErr w:type="spellStart"/>
      <w:r>
        <w:t>późn</w:t>
      </w:r>
      <w:proofErr w:type="spellEnd"/>
      <w:r>
        <w:t>. zm., natomiast od 1 września 2017 obowiązuje art. 11 ust. 6 ustawy z dnia 14 grudnia 2016 roku - Prawo Oświatowe (Dz. U. 2017 poz. 60)</w:t>
      </w:r>
    </w:p>
    <w:p w:rsidR="00A1782B" w:rsidRDefault="00A1782B" w:rsidP="00A1782B">
      <w:pPr>
        <w:jc w:val="both"/>
      </w:pPr>
      <w:r>
        <w:t>W projekcie ustawy o finansowaniu zadań oświatowych została zaplanowana, od 2018 r., zmiana przepisów w zakresie przeznaczania środków na kształcenie specjalne. Zmiany dotyczyć będą głownie szkół i przedszkoli ogólnodostępnych</w:t>
      </w:r>
      <w:r w:rsidR="00556450">
        <w:t>.</w:t>
      </w:r>
    </w:p>
    <w:p w:rsidR="00DB3FE1" w:rsidRDefault="00DB3FE1"/>
    <w:p w:rsidR="00DB3FE1" w:rsidRDefault="00556450" w:rsidP="00DB3FE1">
      <w:pPr>
        <w:jc w:val="both"/>
      </w:pPr>
      <w:r>
        <w:t>S</w:t>
      </w:r>
      <w:r w:rsidR="00DB3FE1" w:rsidRPr="00DB3FE1">
        <w:t>zkoły publiczne prowadzone przez osoby fizyczne lub osoby prawne niebędące jednostkami samorządu terytorialnego oraz szkoły niepubliczne otrzymują dotacje z budżetów jednostek samorządu terytorialnego. Dotacje przysługują na każdego ucznia, a ich minimalna wysokość określona jest w ustawie o systemie  oświaty i powiązana jest z kwotą subwencji oświatowej przypadającej na ucznia szkoły tego samego typu i rodzaju bądź z kwotą wydatków bieżących przypadających na jednego ucznia w szkole publiczn</w:t>
      </w:r>
      <w:r w:rsidR="00DB3FE1">
        <w:t>ej tego samego typu i rodzaju</w:t>
      </w:r>
      <w:r w:rsidR="00DB3FE1" w:rsidRPr="00DB3FE1">
        <w:t>.</w:t>
      </w:r>
      <w:r w:rsidR="00DB3FE1">
        <w:t xml:space="preserve"> W przypadku ucznia niepełnosprawnego kwota dotacji nie może być niższa niż kwota przewidziana dla tego ucznia w subwencji oświatowej.</w:t>
      </w:r>
    </w:p>
    <w:sectPr w:rsidR="00DB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13" w:rsidRDefault="00A84813" w:rsidP="00DB3FE1">
      <w:pPr>
        <w:spacing w:after="0" w:line="240" w:lineRule="auto"/>
      </w:pPr>
      <w:r>
        <w:separator/>
      </w:r>
    </w:p>
  </w:endnote>
  <w:endnote w:type="continuationSeparator" w:id="0">
    <w:p w:rsidR="00A84813" w:rsidRDefault="00A84813" w:rsidP="00D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13" w:rsidRDefault="00A84813" w:rsidP="00DB3FE1">
      <w:pPr>
        <w:spacing w:after="0" w:line="240" w:lineRule="auto"/>
      </w:pPr>
      <w:r>
        <w:separator/>
      </w:r>
    </w:p>
  </w:footnote>
  <w:footnote w:type="continuationSeparator" w:id="0">
    <w:p w:rsidR="00A84813" w:rsidRDefault="00A84813" w:rsidP="00D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f4ff1b6-9599-45df-b941-6c2f7d6082f5"/>
  </w:docVars>
  <w:rsids>
    <w:rsidRoot w:val="00A1782B"/>
    <w:rsid w:val="00556450"/>
    <w:rsid w:val="00931216"/>
    <w:rsid w:val="00A1782B"/>
    <w:rsid w:val="00A84813"/>
    <w:rsid w:val="00BD2977"/>
    <w:rsid w:val="00BE0C43"/>
    <w:rsid w:val="00DB3FE1"/>
    <w:rsid w:val="00E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78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782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78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78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Karnas Renata</dc:creator>
  <cp:lastModifiedBy>Małgorzata Moraczewska</cp:lastModifiedBy>
  <cp:revision>2</cp:revision>
  <dcterms:created xsi:type="dcterms:W3CDTF">2017-09-11T13:02:00Z</dcterms:created>
  <dcterms:modified xsi:type="dcterms:W3CDTF">2017-09-11T13:02:00Z</dcterms:modified>
</cp:coreProperties>
</file>